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200"/>
        <w:jc w:val="center"/>
        <w:rPr>
          <w:b/>
          <w:bCs/>
        </w:rPr>
      </w:pPr>
      <w:r>
        <w:rPr>
          <w:b/>
          <w:bCs/>
        </w:rPr>
        <w:t>Инструкция для представителя издательской группы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>
        <w:tc>
          <w:tcPr>
            <w:tcW w:w="1555" w:type="dxa"/>
          </w:tcPr>
          <w:p>
            <w:pPr>
              <w:spacing w:line="276" w:lineRule="auto"/>
              <w:jc w:val="left"/>
            </w:pPr>
            <w:r>
              <w:t>Роль:</w:t>
            </w:r>
          </w:p>
        </w:tc>
        <w:tc>
          <w:tcPr>
            <w:tcW w:w="7790" w:type="dxa"/>
          </w:tcPr>
          <w:p>
            <w:pPr>
              <w:spacing w:line="276" w:lineRule="auto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color w:val="FF0000"/>
              </w:rPr>
              <w:t>Представитель издательской группы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before="200"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Доступные функции в системе</w:t>
            </w:r>
          </w:p>
        </w:tc>
      </w:tr>
      <w:tr>
        <w:tc>
          <w:tcPr>
            <w:tcW w:w="9345" w:type="dxa"/>
            <w:gridSpan w:val="2"/>
          </w:tcPr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Просмотр информации о поступивших на рассмотрение пакетах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Отслеживание статуса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Изменение состава и удаление пакета документов из системы;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Принятие решения об отправке пакета документов либо в издательство, либо в библиотеку на доработку.</w:t>
            </w:r>
          </w:p>
        </w:tc>
      </w:tr>
    </w:tbl>
    <w:p>
      <w:pPr>
        <w:jc w:val="left"/>
      </w:pPr>
    </w:p>
    <w:p>
      <w:r>
        <w:t>Основные действия пользователя в системе выражены в виде сценариев использования системы, описанных в таблице ниже. В колонке «Сценарий использования» приведена краткая история действия, которое желает произвести пользователь, а в колонке «Порядок действий (№ пунктов)» перечислены шаги для достижения результата. Данные шаги представлены в пункте «Порядок действий» после таблицы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>
        <w:tc>
          <w:tcPr>
            <w:tcW w:w="6091" w:type="dxa"/>
            <w:shd w:val="clear" w:color="auto" w:fill="D9D9D9" w:themeFill="background1" w:themeFillShade="D9"/>
            <w:vAlign w:val="center"/>
          </w:tcPr>
          <w:p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Сценарий использования</w:t>
            </w:r>
          </w:p>
        </w:tc>
        <w:tc>
          <w:tcPr>
            <w:tcW w:w="3254" w:type="dxa"/>
            <w:shd w:val="clear" w:color="auto" w:fill="D9D9D9" w:themeFill="background1" w:themeFillShade="D9"/>
            <w:vAlign w:val="center"/>
          </w:tcPr>
          <w:p>
            <w:pPr>
              <w:tabs>
                <w:tab w:val="center" w:pos="2228"/>
                <w:tab w:val="right" w:pos="4457"/>
              </w:tabs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действий (№ пунктов)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1. Вход на сайт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1, 2, 3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line="276" w:lineRule="auto"/>
              <w:jc w:val="center"/>
              <w:rPr>
                <w:b/>
                <w:bCs/>
                <w:color w:val="CC0000"/>
              </w:rPr>
            </w:pPr>
            <w:r>
              <w:rPr>
                <w:b/>
                <w:bCs/>
                <w:color w:val="CC0000"/>
              </w:rPr>
              <w:t>Дальнейшие действия предполагают выполненный вход на сайт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2. Просмотр перечня поступивших пакетов документов на рассмотрение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3. Просмотр перечня завершённых (прошедших этап рассмотрения представителем издательства) пакетов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4, 5, 6</w:t>
            </w:r>
          </w:p>
          <w:p>
            <w:pPr>
              <w:jc w:val="center"/>
            </w:pP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4. Просмотр карточки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5. Скачивание документов по отдельности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4, 5, 7, 8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6. Скачивание пакета документов архивом</w:t>
            </w:r>
          </w:p>
        </w:tc>
        <w:tc>
          <w:tcPr>
            <w:tcW w:w="3254" w:type="dxa"/>
          </w:tcPr>
          <w:p>
            <w:pPr>
              <w:tabs>
                <w:tab w:val="center" w:pos="1519"/>
              </w:tabs>
              <w:spacing w:line="276" w:lineRule="auto"/>
              <w:jc w:val="left"/>
            </w:pPr>
            <w:r>
              <w:t>4, 5, 7, 9</w:t>
            </w:r>
            <w:r>
              <w:tab/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7. Удаление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4, 5, 7, 10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8. Изменение состава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  <w:rPr>
                <w:lang w:val="en-US"/>
              </w:rPr>
            </w:pPr>
            <w:r>
              <w:t>4, 5, 7, 11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9</w:t>
            </w:r>
            <w:r>
              <w:rPr>
                <w:lang w:val="en-US"/>
              </w:rPr>
              <w:t>.</w:t>
            </w:r>
            <w:r>
              <w:t xml:space="preserve"> Изменение статуса пакета документов: отправка пакета либо в библиотеку, либо секретарю РИС на доработку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4, 5, 7, 12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10. Отслеживание статуса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4, 5, 7, 13</w:t>
            </w:r>
          </w:p>
        </w:tc>
      </w:tr>
    </w:tbl>
    <w:p>
      <w:pPr>
        <w:jc w:val="left"/>
        <w:rPr>
          <w:b/>
          <w:bCs/>
        </w:rPr>
      </w:pPr>
      <w:r>
        <w:rPr>
          <w:b/>
          <w:bCs/>
        </w:rPr>
        <w:lastRenderedPageBreak/>
        <w:t>Порядок действий: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Зайти на сайт </w:t>
      </w:r>
      <w:hyperlink r:id="rId6" w:history="1">
        <w:r>
          <w:rPr>
            <w:rStyle w:val="a5"/>
          </w:rPr>
          <w:t>https://srid.ssuwt.ru/</w:t>
        </w:r>
      </w:hyperlink>
      <w:r>
        <w:t xml:space="preserve"> 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 xml:space="preserve">Нажать на кнопку «Войти» </w:t>
      </w:r>
      <w:r>
        <w:rPr>
          <w:noProof/>
        </w:rPr>
        <w:drawing>
          <wp:inline distT="0" distB="0" distL="0" distR="0">
            <wp:extent cx="5867400" cy="2783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9"/>
                    <a:stretch/>
                  </pic:blipFill>
                  <pic:spPr bwMode="auto">
                    <a:xfrm>
                      <a:off x="0" y="0"/>
                      <a:ext cx="5896612" cy="279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>В поле «Логин» (1) и «Пароль» (2) вводим логин и пароль, выданные администратором системы. Нажимаем на кнопку «ВОЙТИ»</w:t>
      </w:r>
    </w:p>
    <w:p>
      <w:pPr>
        <w:pStyle w:val="a4"/>
        <w:tabs>
          <w:tab w:val="left" w:pos="426"/>
        </w:tabs>
        <w:ind w:left="0"/>
        <w:jc w:val="left"/>
      </w:pPr>
      <w:r>
        <w:rPr>
          <w:noProof/>
        </w:rPr>
        <w:drawing>
          <wp:inline distT="0" distB="0" distL="0" distR="0">
            <wp:extent cx="3371215" cy="2466975"/>
            <wp:effectExtent l="0" t="0" r="63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7" b="10507"/>
                    <a:stretch/>
                  </pic:blipFill>
                  <pic:spPr bwMode="auto">
                    <a:xfrm>
                      <a:off x="0" y="0"/>
                      <a:ext cx="3374009" cy="246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 правой части верхнего навигационного меню сайта вместо кнопки «Войти» отобразятся Ваши данные: фамилия, имя и отчество. Наведя мышкой на эти данные, появится меню, в котором отображаются пункты «Документы» и «Выйти». Нажмите на пункт «Документы»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40425" cy="2932430"/>
            <wp:effectExtent l="0" t="0" r="317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Отобразится страница «Документы».</w:t>
      </w:r>
    </w:p>
    <w:p>
      <w:pPr>
        <w:pStyle w:val="a4"/>
        <w:tabs>
          <w:tab w:val="left" w:pos="426"/>
        </w:tabs>
        <w:ind w:left="0"/>
      </w:pPr>
      <w:r>
        <w:t>В левой части страницы представлено навигационное меню с пунктами: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«Выполняются» (при нажатии откроется перечень документов, находящихся в очереди на рассмотрение представителем издательской группы в рамках этапа «Передача пакета документов в редакцию» (см. п. №2 раздела «Введение» документа «Руководство по эксплуатации информационной системы редакционно-издательской деятельности»)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«Завершенные» (при нажатии откроется перечень документов, рассмотренных представителем издательской группы (прошедших стадию «Передача пакета документов в редакцию» редакционно-издательской деятельности).</w:t>
      </w:r>
    </w:p>
    <w:p>
      <w:pPr>
        <w:pStyle w:val="a4"/>
        <w:tabs>
          <w:tab w:val="left" w:pos="426"/>
        </w:tabs>
        <w:ind w:left="0"/>
      </w:pPr>
      <w:r>
        <w:t>В правой части страницы отображается таблица с перечнем документов, находящихся в очереди на рассмотрение представителем издательской группы в рамках этапа «Передача пакета документов в редакцию»: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lastRenderedPageBreak/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038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просмотра перечня завершённых (рассмотренных представителем издательской группы) пакетов документов, нажмите на кнопку «Завершённые» из левого навигационного меню.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162800"/>
            <wp:positionH relativeFrom="column">
              <wp:align>left</wp:align>
            </wp:positionH>
            <wp:positionV relativeFrom="paragraph">
              <wp:align>top</wp:align>
            </wp:positionV>
            <wp:extent cx="1514475" cy="1266825"/>
            <wp:effectExtent l="0" t="0" r="9525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111"/>
                    <a:stretch/>
                  </pic:blipFill>
                  <pic:spPr bwMode="auto">
                    <a:xfrm>
                      <a:off x="0" y="0"/>
                      <a:ext cx="1514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br w:type="textWrapping" w:clear="all"/>
        <w:t>В правой части страницы отображается таблица с перечнем документов: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По нажатии на трек-номер требуемого пакета документов из таблицы, откроется карточка пакета документов.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34075" cy="1047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2171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В верхней части карточки отображается основная информация о выбранном пакете документов: «Название», «Автор», «Трек-номер», «Последнее изменение», «Комментарий».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Во второй половине карточки пакета документов перечислены документы, входящие в созданный пакет.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934075" cy="42862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Напротив названия каждого документа (Материал, Рабочая программа дисциплины и т.д.) возможно наличие двух записей: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«Скачать» – означает, что данный документ имеется в системе. По нажатии на «Скачать», происходит загрузка данного документа на компьютер;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«ОТСУТСТВУЕТ» – означает, что данного документа нет в системе. Для добавления данного документа в пакет, см. п. 11.</w:t>
      </w:r>
    </w:p>
    <w:p>
      <w:pPr>
        <w:tabs>
          <w:tab w:val="left" w:pos="426"/>
        </w:tabs>
      </w:pPr>
      <w:r>
        <w:t>Пункт «Планируемая дата рассмотрения пакета документов редакционно-издательским советом» может иметь два значения: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Дата – секретарём редакционно-издательского совета назначена дата рассмотрения пакета документов;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«Не установлена» – секретарём редакционно-издательского совета еще не назначена дата рассмотрения пакета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Скачивание пакета документов архивом означает, что по нажатии на соответствующую кнопку произойдет формирование архива, включающего все документы выбранного пакета документов и дальнейшее скачивание этого архива на компьютер. Данная функция позволяет удобно скачать все документы «разом», а не скачивать каждый по отдельности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5735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Удаление пакета документов сопровождается полным необратимым исключением всей информации о выбранном пакете документов из системы. </w:t>
      </w:r>
      <w:r>
        <w:rPr>
          <w:highlight w:val="yellow"/>
          <w:u w:val="single"/>
        </w:rPr>
        <w:t>Используйте данную функцию с осторожностью!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2228850" cy="438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Изменить состав документов (прикрепить новые документы или новые редакции старых документов) можно по нажатии на кнопку «Изменить состав».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 открывшейся странице имеется возможность прикрепления документов для их загрузки на сайт.</w:t>
      </w:r>
    </w:p>
    <w:p>
      <w:pPr>
        <w:tabs>
          <w:tab w:val="left" w:pos="426"/>
        </w:tabs>
      </w:pPr>
      <w:r>
        <w:t>Для подробного ознакомления с перечисленными на экране документами, см. п. №1 раздела «Термины и определения» документа «Руководство по эксплуатации информационной системы редакционно-издательской деятельности».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3214756" cy="741045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56" cy="743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lastRenderedPageBreak/>
        <w:t>Перед прикреплением документов в верхней строке «Выберите пакет документов», нажмите мышью на раскрывающийся список и выберите название того пакета документов, состав которого Вы желаете изменить.</w:t>
      </w:r>
    </w:p>
    <w:p>
      <w:pPr>
        <w:tabs>
          <w:tab w:val="left" w:pos="426"/>
        </w:tabs>
      </w:pPr>
      <w:r>
        <w:t>Далее, в соответствии с указаниями на экране, загрузите каждый документ путём нажатия кнопки «Выберите файл». Откроется окно выбора файлов с Вашего компьютера, где необходимо выбрать требуемый документ.</w:t>
      </w:r>
    </w:p>
    <w:p>
      <w:pPr>
        <w:tabs>
          <w:tab w:val="left" w:pos="426"/>
        </w:tabs>
      </w:pPr>
      <w:r>
        <w:rPr>
          <w:b/>
          <w:bCs/>
          <w:u w:val="single"/>
        </w:rPr>
        <w:t>Примечание</w:t>
      </w:r>
      <w:r>
        <w:t>: не обязательно загружать все перечисленные на странице документы.</w:t>
      </w:r>
    </w:p>
    <w:p>
      <w:pPr>
        <w:pStyle w:val="a4"/>
        <w:tabs>
          <w:tab w:val="left" w:pos="426"/>
        </w:tabs>
        <w:ind w:left="0"/>
      </w:pPr>
      <w:r>
        <w:t>По окончании работ, нажмите на кнопку «Изменить».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изменения статуса пакета документов (отправки пакета документов в издательство или возврата пакета документов в библиотеку для доработки), предусмотрены соответствующие кнопки карточки пакета документов. По нажатии на кнопку «Отправить на доработку», пакет документов отправится в библиотеку для изменения его состава. По нажатии на «Отправить на следующий этап», пакет документов отправится в издательство. Если имеется информация, которую необходимо передать стороне, которой осуществляется отправка, можно ввести комментарий в соответствующее поле.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562600" cy="184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9" b="5805"/>
                    <a:stretch/>
                  </pic:blipFill>
                  <pic:spPr bwMode="auto">
                    <a:xfrm>
                      <a:off x="0" y="0"/>
                      <a:ext cx="55626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Пролистнув карточку пакета документов вниз, можно увидеть маршрут пакета документов в редакционно-издательской системе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3434960" cy="3314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627" cy="333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В верхней части маршрута отображается ФИО автора пакета документов, в левой панели (1) указывается время, когда указанный правее статус был достигнут (совершён). В правой части (2) располагается подсказка, какие этапы редакционной деятельности были пройдены пакетом документов, на каком этапе в данный момент находится пакет документов и какие этапы редакционной деятельности пакету документов предстоит пройти: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304925" cy="3524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этап, название которого подписано под указанным значком, выполнен;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429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пакет документов в данный момент находится на этапе, название которого подписано под указанным значком. При этом в оранжевом круге значка указывается порядковый номер этапа (в соответствии с п. №2 раздела «Введение»);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524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 этап, который пакету документов предстоит пройти в будущем.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094F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9086CF6"/>
    <w:multiLevelType w:val="hybridMultilevel"/>
    <w:tmpl w:val="BB52A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F840C27"/>
    <w:multiLevelType w:val="hybridMultilevel"/>
    <w:tmpl w:val="BB02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B36"/>
    <w:multiLevelType w:val="hybridMultilevel"/>
    <w:tmpl w:val="3F28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07AF8"/>
    <w:multiLevelType w:val="hybridMultilevel"/>
    <w:tmpl w:val="97E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5964"/>
    <w:multiLevelType w:val="hybridMultilevel"/>
    <w:tmpl w:val="59CA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B19AF"/>
    <w:multiLevelType w:val="hybridMultilevel"/>
    <w:tmpl w:val="F6DA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02E"/>
    <w:multiLevelType w:val="hybridMultilevel"/>
    <w:tmpl w:val="61F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46191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DAC2051"/>
    <w:multiLevelType w:val="hybridMultilevel"/>
    <w:tmpl w:val="0606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91B27-AB8E-46AB-AC5B-F125D50F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s://srid.ssuwt.ru/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D0B4-531E-45B1-AA4F-6772B29E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9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Долгодворов Сергей Андреевич</dc:creator>
  <cp:keywords/>
  <dc:description/>
  <cp:lastModifiedBy>Долгодворов Сергей Андреевич</cp:lastModifiedBy>
  <cp:revision>26</cp:revision>
  <dcterms:created xsi:type="dcterms:W3CDTF">2025-02-25T04:37:00Z</dcterms:created>
  <dcterms:modified xsi:type="dcterms:W3CDTF">2025-02-27T11:41:00Z</dcterms:modified>
</cp:coreProperties>
</file>